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74" w:rsidRPr="00D77C74" w:rsidRDefault="00D77C74" w:rsidP="00D77C74">
      <w:pPr>
        <w:spacing w:before="390" w:after="39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CC1E61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b/>
          <w:bCs/>
          <w:i/>
          <w:iCs/>
          <w:color w:val="CC1E61"/>
          <w:sz w:val="20"/>
          <w:szCs w:val="20"/>
          <w:lang w:eastAsia="ru-RU"/>
        </w:rPr>
        <w:t>Речь ребенка формируется под влиянием речи взрослых!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Дети этого возраста любознательны, самостоятельны и активны в освоении социальной и природной деятельности. В связи с этим значительно увеличиваются их речевые возможности, расширяется словарный запас, речь становится грамматически оформленной и содержательной. Чтобы ребенок своевременно и качественно овладел устной речью, необходимо, чтобы он пользовался ей как можно чаще, вступая в контакт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со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взрослыми и сверстниками. Чтобы научиться говорить - надо говорить.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Расширение словаря происходит одновременно с ознакомлением детей с окружающей действительностью, с формированием отношения к окружающему.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Различают активный и пассивный словарь. Пассивный словарь - это слова, которые ребенок понимает, знает, но не использует. Активный словарь - это слова, которые ребенок не только понимает, но и употребляет в своей речи. Активный словарь пятилетнего ребенка к концу года должен насчитывать 3000 слов. Пассивный словарь обычно больше активного. Вы можете протестировать своего ребенка. Предложите ему пересказать сказку или коротенький текст, рассказать о каком-либо событии, составить рассказ по картинке, а затем проанализировать: как близко к тексту он передал содержание, использовал ли прилагательные, часто ли затруднялся в подборе слов.</w:t>
      </w:r>
    </w:p>
    <w:p w:rsidR="00D77C74" w:rsidRPr="00D77C74" w:rsidRDefault="00D77C74" w:rsidP="00D77C7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u w:val="single"/>
          <w:bdr w:val="none" w:sz="0" w:space="0" w:color="auto" w:frame="1"/>
          <w:lang w:eastAsia="ru-RU"/>
        </w:rPr>
        <w:t>Методы и приемы для обогащения словаря детей: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дидактические, развивающие, настольные игры;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подвижные игры с текстом;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сюжетно-ролевые игры;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драматизация сказок;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игровые упражнения;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чтение художественной литературы;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рассказывание сказок с участием детей;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заучивание стихотворений;</w:t>
      </w:r>
    </w:p>
    <w:p w:rsidR="00D77C74" w:rsidRPr="00D77C74" w:rsidRDefault="00D77C74" w:rsidP="00D77C74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беседы после рассматривания картин, иллюстраций.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Если вы заметили, что у вашего ребенка есть проблемы с речью, как можно быстрее обратитесь за помощью к специалистам. Чем больше времени вы будете уделять ребенку в дошкольном возрасте, тем меньше вам придется помогать ему в школе. Но нужно помнить, что обучение дошкольника - это, прежде всего, игра, интересная и увлекательная. Вы можете проводить речевые игры, которые не требуют дополнительного времени, необходимо только ваше желание.</w:t>
      </w:r>
    </w:p>
    <w:p w:rsidR="00D77C74" w:rsidRPr="00D77C74" w:rsidRDefault="00D77C74" w:rsidP="00D77C74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По дороге в детский сад предложите ребенку поделиться наблюдениями, касающимися погоды, подобрать как можно больше слов, описывающих деревья, рассказать, что нового он заметил на улице, в парке и т.д.</w:t>
      </w:r>
    </w:p>
    <w:p w:rsidR="00D77C74" w:rsidRPr="00D77C74" w:rsidRDefault="00D77C74" w:rsidP="00D77C74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Дома на кухне спросите ребенка, какие продукты нужны, чтобы сварить борщ, суп, сделать салат, окрошку, какие продукты необходимо купить в магазине, какие приборы-помощники есть у вас на кухне и т.д.</w:t>
      </w:r>
    </w:p>
    <w:p w:rsidR="00D77C74" w:rsidRPr="00D77C74" w:rsidRDefault="00D77C74" w:rsidP="00D77C7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u w:val="single"/>
          <w:bdr w:val="none" w:sz="0" w:space="0" w:color="auto" w:frame="1"/>
          <w:lang w:eastAsia="ru-RU"/>
        </w:rPr>
        <w:t>Развиваем речь ребёнка с помощью игровых моментов: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1. Подбираем синонимы.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 Назовите любое слово (например, «веселый») и спросите ребенка: «Как можно назвать по-другому?» (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радостный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, в хорошем настроении). Если ребенок затрудняется с ответом, подскажите.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2. Подбираем антонимы.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 Назовите слово и попросите сказать противоположное по смыслу. Таким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образом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тренируйте существительные, прилагательные, глаголы и другие части речи (например, холод – жара, легкий-тяжелый, открыли-закрыли).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3. Классифицируем предметы по определенным признакам.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 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Попросите перечислить каким бывает, например, шкаф (большой, прямоугольный, деревянный, белый, вместительный, широкий, узкий, зеркальный).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Попросите назвать предметы, которые могут быть сладкими (конфета, фрукт, вата, сон). Часто дети 5-6 лет в речи используют обобщающие слова (например, цветок вместо тюльпана), тренируйте ребенка точно определять предмет (например, ель, тополь вместо «дерево»)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4. «Угадай-ка»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. Вы называете признаки предмета, а задача ребенк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а-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угадать, что вы загадали. Например, круглый, большой, полосатый, зеленый, съедобный, вкусный – «арбуз»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5. Упражнения на грамматику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 (правильное склонение существительных по числам, падежам, сравнение, применение предлогов). Вы говорите: «У меня одно яблоко, а на столе…», ребенок продолжает: «много яблок» — тренируем склонение по числам. Или «вот диван, мы с тобой сидим на… (диване), а сейчас кот подошел к… (дивану)» — тренируем склонение по падежам.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lastRenderedPageBreak/>
        <w:t>6. Составь предложение из слов.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 Попросите ребенка составить предложение из определенных слов. Например, груша, лежать, стол – «груша лежит на столе».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7. Обогащаем речь с помощью детской литературы, пословиц и поговорок.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 Пожалуй, одно из самых эффективных средств для развития реч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и-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это чтение литературы, в том числе загадок,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потешек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, стихов, пословиц и поговорок.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8. «Назови лишнее слово»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 «Лишнее» слово среди имен существительных:</w:t>
      </w:r>
    </w:p>
    <w:p w:rsidR="00D77C74" w:rsidRPr="00D77C74" w:rsidRDefault="00D77C74" w:rsidP="00D77C74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кукла, песок, юла, ведерко, мяч;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стол, шкаф, ковер, кресло, диван;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пальто, шапка, шарф, сапоги, шляпа;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слива, яблоко, помидор, абрикос, груша;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волк, собака, рысь, лиса, заяц;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лошадь, корова, олень, баран, свинья;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роза, тюльпан, фасоль, василек, мак.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«Лишнее» слово среди имен прилагательных: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грустный, печальный, унылый, глубокий;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храбрый, звонкий, смелый, отважный;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желтый, красный, сильный, зеленый.</w:t>
      </w:r>
      <w:proofErr w:type="gramEnd"/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9. « Чем отличаются предметы?»</w:t>
      </w:r>
    </w:p>
    <w:p w:rsidR="00D77C74" w:rsidRPr="00D77C74" w:rsidRDefault="00D77C74" w:rsidP="00D77C74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Чашка и стакан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Яблоко и груша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Помидор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и тыква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Тарелка и миска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Кофта и свитер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10. «Что общее?»</w:t>
      </w:r>
    </w:p>
    <w:p w:rsidR="00D77C74" w:rsidRPr="00D77C74" w:rsidRDefault="00D77C74" w:rsidP="00D77C74">
      <w:pPr>
        <w:spacing w:before="180" w:after="180" w:line="240" w:lineRule="auto"/>
        <w:jc w:val="center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У двух предметов: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огурец, помидор (овощи);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ромашка, тюльпан (цветы);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слон, собака (животные).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У трех предметов: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мяч, солнце, шар — ...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тарелка, ваза, чашка — ...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лист, трава, крокодил — ...</w:t>
      </w:r>
      <w:proofErr w:type="gramEnd"/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11. «Подбери словечко»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В эту игру можно играть с мячом, перекидывая, его друг другу. 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12. «Волшебные очки»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Взрослый говорит: «Представь, что у нас есть волшебные очки. Когда их надеваешь, то все становится красным (зеленым, желтым, синим и т.д.). Посмотри вокруг в волшебные очки, какого цвета все стало, скажи: красный мяч, красные сапоги, красное платье, красный нос. Красное окно, красная рука и прочие.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Список литературы для детей 5-6 лет</w:t>
      </w:r>
    </w:p>
    <w:p w:rsidR="00D77C74" w:rsidRPr="00D77C74" w:rsidRDefault="00D77C74" w:rsidP="00D77C74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читать детям нужно каждый день;</w:t>
      </w:r>
    </w:p>
    <w:p w:rsidR="00D77C74" w:rsidRPr="00D77C74" w:rsidRDefault="00D77C74" w:rsidP="00D77C74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если вы собираетесь прочесть детям произведение уже знакомого им автора, необходимо напомнить и о других его книгах:</w:t>
      </w:r>
    </w:p>
    <w:p w:rsidR="00D77C74" w:rsidRPr="00D77C74" w:rsidRDefault="00D77C74" w:rsidP="003057E6">
      <w:pPr>
        <w:spacing w:before="180" w:after="180" w:line="240" w:lineRule="auto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1) </w:t>
      </w:r>
      <w:bookmarkStart w:id="0" w:name="_GoBack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Николай Носов. Рассказы, «Приключения Незнайки и его друзей» (все части).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2) Виктор Драгунский. Денискины рассказы.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Карика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и Вали».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3)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Отфрид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Пройслер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. «Маленькая колдунья», «Маленькое приведение», «Маленький водяной».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4) Андрей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Усчев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. «Умная собачка Соня», «Жили-были ежики», «Школа снеговиков», «Чудеса в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Дедморозовке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», «33 кота».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lastRenderedPageBreak/>
        <w:t xml:space="preserve">5)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Сельма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Лагерлеф. «Чудесное путешествие Нильса с дикими гусями».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6) Александр Волков. «Волшебник Изумрудного города» все части.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7)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Джанни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Родари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. «Сказки по телефону», «Приключения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Чиполлино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», «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Джельсомино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в стране лжецов», «Как путешествовал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Джованино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», «Путешествие голубой стрелы».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8)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Астрид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Линдгрен «Малыш и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Карлсон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» (3 части), «Приключения Эмиля из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Леннеберги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», «Эмиль и малышка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Ида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», «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Пеппи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Длинныйчулок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9) Алан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Милн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.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«Вини-Пух и все-все-все» (все части).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10) Эдуард Успенский «Трое из Простоквашино» (старые истории), «Чебурашка и Крокодил Гена» (старые истории), «Следствие ведут колобки» и т.д.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11) Ян-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Олав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Экхольм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«Тутта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Карлссон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Первая и единственная, Людвиг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четырнадчатый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и другие».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12) Юрий Дружков «Приключения Карандаша и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Самоделкина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13) Анне-Катрине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Вестли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«Папа, мама, бабушка, восемь детей и грузовик», «Маленький подарок Антона».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14) Григорий Остер. «38 попугаев», «Вредные советы».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15)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Лаймен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Баум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«Волшебник страны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Оз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16) Алексей Толстой.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«Золотой ключик или приключения Буратино».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17) Карло Коллоди.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«Приключения Пиноккио».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18) Диана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Сабитова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«Мышь Гликерия.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Цветные и полосатые дни».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19) Туве Янсон.</w:t>
      </w:r>
      <w:proofErr w:type="gram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</w:t>
      </w:r>
      <w:proofErr w:type="gram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Все о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Муми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-троллях.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 xml:space="preserve">20) Дмитрий </w:t>
      </w:r>
      <w:proofErr w:type="spellStart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>Емец</w:t>
      </w:r>
      <w:proofErr w:type="spellEnd"/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t xml:space="preserve"> «Приключения домовят».</w:t>
      </w:r>
      <w:r w:rsidRPr="00D77C74">
        <w:rPr>
          <w:rFonts w:ascii="inherit" w:eastAsia="Times New Roman" w:hAnsi="inherit" w:cs="Arial"/>
          <w:color w:val="363636"/>
          <w:sz w:val="20"/>
          <w:szCs w:val="20"/>
          <w:lang w:eastAsia="ru-RU"/>
        </w:rPr>
        <w:br/>
        <w:t>21) Сергей Михалков «Праздник непослушания».</w:t>
      </w:r>
      <w:proofErr w:type="gramEnd"/>
    </w:p>
    <w:bookmarkEnd w:id="0"/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Родители:</w:t>
      </w:r>
    </w:p>
    <w:p w:rsidR="00D77C74" w:rsidRPr="00D77C74" w:rsidRDefault="00D77C74" w:rsidP="00D77C74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Верьте в силы ребенка!</w:t>
      </w:r>
    </w:p>
    <w:p w:rsidR="00D77C74" w:rsidRPr="00D77C74" w:rsidRDefault="00D77C74" w:rsidP="00D77C74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Обучайте в игре!</w:t>
      </w:r>
    </w:p>
    <w:p w:rsidR="00D77C74" w:rsidRPr="00D77C74" w:rsidRDefault="00D77C74" w:rsidP="00D77C74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Умейте выслушать ребенка.</w:t>
      </w:r>
    </w:p>
    <w:p w:rsidR="00D77C74" w:rsidRPr="00D77C74" w:rsidRDefault="00D77C74" w:rsidP="00D77C74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</w:t>
      </w:r>
    </w:p>
    <w:p w:rsidR="00D77C74" w:rsidRPr="00D77C74" w:rsidRDefault="00D77C74" w:rsidP="00D77C74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D77C74" w:rsidRPr="00D77C74" w:rsidRDefault="00D77C74" w:rsidP="00D77C74">
      <w:pPr>
        <w:spacing w:before="180" w:after="18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 w:rsidRPr="00D77C74">
        <w:rPr>
          <w:rFonts w:ascii="inherit" w:eastAsia="Times New Roman" w:hAnsi="inherit" w:cs="Arial"/>
          <w:b/>
          <w:bCs/>
          <w:color w:val="363636"/>
          <w:sz w:val="20"/>
          <w:szCs w:val="20"/>
          <w:lang w:eastAsia="ru-RU"/>
        </w:rPr>
        <w:t>Наполнить повседневную жизнь детей грамотным речевым общением:</w:t>
      </w:r>
    </w:p>
    <w:p w:rsidR="00D77C74" w:rsidRPr="00D77C74" w:rsidRDefault="00D77C74" w:rsidP="00D77C74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посредством называния окружающих предметов и явлений развивать предметный словарь (например, это мяч, это шапка и т.д.);</w:t>
      </w:r>
    </w:p>
    <w:p w:rsidR="00D77C74" w:rsidRPr="00D77C74" w:rsidRDefault="00D77C74" w:rsidP="00D77C74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в собственной речи четко проговаривать окончания слов, дать ребенку возможность услышать изменение звучания слов в различных контекстах, правильно употреблять грамматические формы и т.д.</w:t>
      </w:r>
    </w:p>
    <w:p w:rsidR="00D77C74" w:rsidRPr="00D77C74" w:rsidRDefault="00D77C74" w:rsidP="00D77C74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 xml:space="preserve">обращать внимание детей на </w:t>
      </w:r>
      <w:proofErr w:type="spellStart"/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смыслообразующие</w:t>
      </w:r>
      <w:proofErr w:type="spellEnd"/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 xml:space="preserve"> элементы речевой системы – глаголы, на примерах из повседневной жизни, учить детей дифференцировать их по смыслу (например, соответственно: встал, лег, зашил дырку, пришил пуговицу, вышил цветок и т.д.);</w:t>
      </w:r>
    </w:p>
    <w:p w:rsidR="00D77C74" w:rsidRPr="00D77C74" w:rsidRDefault="00D77C74" w:rsidP="00D77C74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color w:val="121212"/>
          <w:sz w:val="20"/>
          <w:szCs w:val="20"/>
          <w:lang w:eastAsia="ru-RU"/>
        </w:rPr>
        <w:t>привлекать внимание детей к правильному пониманию и употреблению пространственных предлогов в контекстной речи и изолированно (например, положи карандаш на стол, возьми карандаш со стола, положи карандаш под стол, спрячь карандаш за спину и т.д.);</w:t>
      </w:r>
    </w:p>
    <w:p w:rsidR="00D77C74" w:rsidRPr="00D77C74" w:rsidRDefault="00D77C74" w:rsidP="00D77C74">
      <w:pPr>
        <w:spacing w:before="390" w:after="39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CC1E61"/>
          <w:sz w:val="20"/>
          <w:szCs w:val="20"/>
          <w:lang w:eastAsia="ru-RU"/>
        </w:rPr>
      </w:pPr>
      <w:r w:rsidRPr="00D77C74">
        <w:rPr>
          <w:rFonts w:ascii="Arial" w:eastAsia="Times New Roman" w:hAnsi="Arial" w:cs="Arial"/>
          <w:b/>
          <w:bCs/>
          <w:i/>
          <w:iCs/>
          <w:color w:val="CC1E61"/>
          <w:sz w:val="20"/>
          <w:szCs w:val="20"/>
          <w:lang w:eastAsia="ru-RU"/>
        </w:rPr>
        <w:t>И самое главное – как можно чаще хвалите вашего ребенка, даже за небольшие успехи!</w:t>
      </w:r>
    </w:p>
    <w:p w:rsidR="00F81D96" w:rsidRDefault="00F81D96"/>
    <w:sectPr w:rsidR="00F8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0BE5"/>
    <w:multiLevelType w:val="multilevel"/>
    <w:tmpl w:val="E5B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E2D20"/>
    <w:multiLevelType w:val="multilevel"/>
    <w:tmpl w:val="DFF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A7D42"/>
    <w:multiLevelType w:val="multilevel"/>
    <w:tmpl w:val="66F6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E2D9A"/>
    <w:multiLevelType w:val="multilevel"/>
    <w:tmpl w:val="6850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6383E"/>
    <w:multiLevelType w:val="multilevel"/>
    <w:tmpl w:val="BC9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74"/>
    <w:rsid w:val="003057E6"/>
    <w:rsid w:val="00D77C74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77C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7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D77C74"/>
    <w:rPr>
      <w:i/>
      <w:iCs/>
    </w:rPr>
  </w:style>
  <w:style w:type="paragraph" w:styleId="a4">
    <w:name w:val="Normal (Web)"/>
    <w:basedOn w:val="a"/>
    <w:uiPriority w:val="99"/>
    <w:semiHidden/>
    <w:unhideWhenUsed/>
    <w:rsid w:val="00D7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77C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7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D77C74"/>
    <w:rPr>
      <w:i/>
      <w:iCs/>
    </w:rPr>
  </w:style>
  <w:style w:type="paragraph" w:styleId="a4">
    <w:name w:val="Normal (Web)"/>
    <w:basedOn w:val="a"/>
    <w:uiPriority w:val="99"/>
    <w:semiHidden/>
    <w:unhideWhenUsed/>
    <w:rsid w:val="00D7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2017-10-26T03:19:00Z</dcterms:created>
  <dcterms:modified xsi:type="dcterms:W3CDTF">2018-04-05T03:27:00Z</dcterms:modified>
</cp:coreProperties>
</file>